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097" w:rsidRDefault="00D66097" w:rsidP="00D66097">
      <w:pPr>
        <w:jc w:val="both"/>
        <w:rPr>
          <w:b/>
          <w:sz w:val="32"/>
          <w:szCs w:val="32"/>
        </w:rPr>
      </w:pPr>
      <w:bookmarkStart w:id="0" w:name="_GoBack"/>
      <w:bookmarkEnd w:id="0"/>
    </w:p>
    <w:p w:rsidR="00D66097" w:rsidRPr="00B51FF1" w:rsidRDefault="00D66097" w:rsidP="00D66097">
      <w:pPr>
        <w:jc w:val="center"/>
        <w:rPr>
          <w:b/>
          <w:sz w:val="32"/>
          <w:szCs w:val="32"/>
        </w:rPr>
      </w:pPr>
      <w:r w:rsidRPr="00B51FF1">
        <w:rPr>
          <w:b/>
          <w:sz w:val="32"/>
          <w:szCs w:val="32"/>
        </w:rPr>
        <w:t>Kultur och samhälle från 1850 till 1914</w:t>
      </w:r>
      <w:r>
        <w:rPr>
          <w:b/>
          <w:sz w:val="32"/>
          <w:szCs w:val="32"/>
        </w:rPr>
        <w:t xml:space="preserve"> (758G55)</w:t>
      </w:r>
    </w:p>
    <w:p w:rsidR="00D66097" w:rsidRPr="00F65712" w:rsidRDefault="00D66097" w:rsidP="00D66097">
      <w:pPr>
        <w:spacing w:line="240" w:lineRule="auto"/>
        <w:jc w:val="both"/>
        <w:rPr>
          <w:szCs w:val="24"/>
        </w:rPr>
      </w:pPr>
      <w:r w:rsidRPr="00F65712">
        <w:rPr>
          <w:szCs w:val="24"/>
        </w:rPr>
        <w:t>Lärare: Ann-Sofie Persson</w:t>
      </w:r>
      <w:r>
        <w:rPr>
          <w:szCs w:val="24"/>
        </w:rPr>
        <w:tab/>
      </w:r>
      <w:r>
        <w:rPr>
          <w:szCs w:val="24"/>
        </w:rPr>
        <w:tab/>
      </w:r>
      <w:r>
        <w:rPr>
          <w:szCs w:val="24"/>
        </w:rPr>
        <w:tab/>
      </w:r>
      <w:r w:rsidRPr="00F65712">
        <w:rPr>
          <w:szCs w:val="24"/>
        </w:rPr>
        <w:t>Tel: 013-28 18 21</w:t>
      </w:r>
    </w:p>
    <w:p w:rsidR="00D66097" w:rsidRPr="00675318" w:rsidRDefault="00D66097" w:rsidP="00D66097">
      <w:pPr>
        <w:spacing w:line="240" w:lineRule="auto"/>
        <w:jc w:val="both"/>
        <w:rPr>
          <w:color w:val="0563C1" w:themeColor="hyperlink"/>
          <w:szCs w:val="24"/>
          <w:u w:val="single"/>
        </w:rPr>
      </w:pPr>
      <w:r>
        <w:rPr>
          <w:szCs w:val="24"/>
        </w:rPr>
        <w:t>Rum: 41</w:t>
      </w:r>
      <w:r w:rsidRPr="00F65712">
        <w:rPr>
          <w:szCs w:val="24"/>
        </w:rPr>
        <w:t>0</w:t>
      </w:r>
      <w:r>
        <w:rPr>
          <w:szCs w:val="24"/>
        </w:rPr>
        <w:t>8</w:t>
      </w:r>
      <w:r w:rsidRPr="00F65712">
        <w:rPr>
          <w:szCs w:val="24"/>
        </w:rPr>
        <w:t xml:space="preserve">, Hus </w:t>
      </w:r>
      <w:proofErr w:type="spellStart"/>
      <w:r w:rsidRPr="00F65712">
        <w:rPr>
          <w:szCs w:val="24"/>
        </w:rPr>
        <w:t>Key</w:t>
      </w:r>
      <w:proofErr w:type="spellEnd"/>
      <w:r w:rsidRPr="00F65712">
        <w:rPr>
          <w:szCs w:val="24"/>
        </w:rPr>
        <w:t>, Campus Valla</w:t>
      </w:r>
      <w:r>
        <w:rPr>
          <w:szCs w:val="24"/>
        </w:rPr>
        <w:tab/>
      </w:r>
      <w:r>
        <w:rPr>
          <w:szCs w:val="24"/>
        </w:rPr>
        <w:tab/>
      </w:r>
      <w:r w:rsidRPr="00F65712">
        <w:rPr>
          <w:szCs w:val="24"/>
        </w:rPr>
        <w:t xml:space="preserve">E-post: </w:t>
      </w:r>
      <w:hyperlink r:id="rId6" w:history="1">
        <w:r w:rsidRPr="00F65712">
          <w:rPr>
            <w:rStyle w:val="Hyperlnk"/>
            <w:szCs w:val="24"/>
          </w:rPr>
          <w:t>ann-sofie.persson@liu.se</w:t>
        </w:r>
      </w:hyperlink>
    </w:p>
    <w:p w:rsidR="00D66097" w:rsidRPr="00F3053A" w:rsidRDefault="00D66097" w:rsidP="00D66097">
      <w:pPr>
        <w:jc w:val="both"/>
        <w:rPr>
          <w:b/>
        </w:rPr>
      </w:pPr>
      <w:r>
        <w:rPr>
          <w:b/>
        </w:rPr>
        <w:t>Momentschema</w:t>
      </w:r>
    </w:p>
    <w:tbl>
      <w:tblPr>
        <w:tblStyle w:val="Tabellrutnt"/>
        <w:tblW w:w="9067" w:type="dxa"/>
        <w:tblLook w:val="04A0" w:firstRow="1" w:lastRow="0" w:firstColumn="1" w:lastColumn="0" w:noHBand="0" w:noVBand="1"/>
      </w:tblPr>
      <w:tblGrid>
        <w:gridCol w:w="856"/>
        <w:gridCol w:w="986"/>
        <w:gridCol w:w="834"/>
        <w:gridCol w:w="5261"/>
        <w:gridCol w:w="1130"/>
      </w:tblGrid>
      <w:tr w:rsidR="00D66097" w:rsidTr="003653CD">
        <w:tc>
          <w:tcPr>
            <w:tcW w:w="856" w:type="dxa"/>
          </w:tcPr>
          <w:p w:rsidR="00D66097" w:rsidRPr="00F3053A" w:rsidRDefault="00D66097" w:rsidP="003653CD">
            <w:pPr>
              <w:jc w:val="both"/>
              <w:rPr>
                <w:b/>
              </w:rPr>
            </w:pPr>
            <w:r w:rsidRPr="00F3053A">
              <w:rPr>
                <w:b/>
              </w:rPr>
              <w:t>Vecka</w:t>
            </w:r>
          </w:p>
        </w:tc>
        <w:tc>
          <w:tcPr>
            <w:tcW w:w="986" w:type="dxa"/>
          </w:tcPr>
          <w:p w:rsidR="00D66097" w:rsidRPr="00F3053A" w:rsidRDefault="00D66097" w:rsidP="003653CD">
            <w:pPr>
              <w:jc w:val="both"/>
              <w:rPr>
                <w:b/>
              </w:rPr>
            </w:pPr>
            <w:r w:rsidRPr="00F3053A">
              <w:rPr>
                <w:b/>
              </w:rPr>
              <w:t>Datum</w:t>
            </w:r>
          </w:p>
        </w:tc>
        <w:tc>
          <w:tcPr>
            <w:tcW w:w="834" w:type="dxa"/>
          </w:tcPr>
          <w:p w:rsidR="00D66097" w:rsidRPr="00F3053A" w:rsidRDefault="00D66097" w:rsidP="003653CD">
            <w:pPr>
              <w:jc w:val="both"/>
              <w:rPr>
                <w:b/>
              </w:rPr>
            </w:pPr>
            <w:r w:rsidRPr="00F3053A">
              <w:rPr>
                <w:b/>
              </w:rPr>
              <w:t xml:space="preserve">Tid </w:t>
            </w:r>
          </w:p>
        </w:tc>
        <w:tc>
          <w:tcPr>
            <w:tcW w:w="5261" w:type="dxa"/>
          </w:tcPr>
          <w:p w:rsidR="00D66097" w:rsidRPr="00F3053A" w:rsidRDefault="00D66097" w:rsidP="003653CD">
            <w:pPr>
              <w:jc w:val="both"/>
              <w:rPr>
                <w:b/>
              </w:rPr>
            </w:pPr>
            <w:r w:rsidRPr="00F3053A">
              <w:rPr>
                <w:b/>
              </w:rPr>
              <w:t xml:space="preserve">Innehåll </w:t>
            </w:r>
          </w:p>
        </w:tc>
        <w:tc>
          <w:tcPr>
            <w:tcW w:w="1130" w:type="dxa"/>
          </w:tcPr>
          <w:p w:rsidR="00D66097" w:rsidRPr="00F3053A" w:rsidRDefault="00D66097" w:rsidP="003653CD">
            <w:pPr>
              <w:jc w:val="both"/>
              <w:rPr>
                <w:b/>
              </w:rPr>
            </w:pPr>
            <w:r>
              <w:rPr>
                <w:b/>
              </w:rPr>
              <w:t>Sal</w:t>
            </w:r>
          </w:p>
        </w:tc>
      </w:tr>
      <w:tr w:rsidR="00D66097" w:rsidTr="003653CD">
        <w:tc>
          <w:tcPr>
            <w:tcW w:w="856" w:type="dxa"/>
          </w:tcPr>
          <w:p w:rsidR="00D66097" w:rsidRPr="00660FBB" w:rsidRDefault="00D66097" w:rsidP="003653CD">
            <w:pPr>
              <w:jc w:val="both"/>
            </w:pPr>
            <w:r w:rsidRPr="00660FBB">
              <w:t>34</w:t>
            </w:r>
          </w:p>
        </w:tc>
        <w:tc>
          <w:tcPr>
            <w:tcW w:w="986" w:type="dxa"/>
          </w:tcPr>
          <w:p w:rsidR="00D66097" w:rsidRPr="00660FBB" w:rsidRDefault="00D66097" w:rsidP="003653CD">
            <w:pPr>
              <w:jc w:val="both"/>
            </w:pPr>
            <w:r>
              <w:t>21</w:t>
            </w:r>
            <w:r w:rsidRPr="00660FBB">
              <w:t>/8</w:t>
            </w:r>
          </w:p>
        </w:tc>
        <w:tc>
          <w:tcPr>
            <w:tcW w:w="834" w:type="dxa"/>
          </w:tcPr>
          <w:p w:rsidR="00D66097" w:rsidRPr="00660FBB" w:rsidRDefault="00D66097" w:rsidP="003653CD">
            <w:pPr>
              <w:jc w:val="both"/>
            </w:pPr>
            <w:r>
              <w:t>10-12</w:t>
            </w:r>
          </w:p>
        </w:tc>
        <w:tc>
          <w:tcPr>
            <w:tcW w:w="5261" w:type="dxa"/>
          </w:tcPr>
          <w:p w:rsidR="00D66097" w:rsidRPr="00FB04BE" w:rsidRDefault="00D66097" w:rsidP="003653CD">
            <w:pPr>
              <w:jc w:val="both"/>
              <w:rPr>
                <w:b/>
              </w:rPr>
            </w:pPr>
            <w:r w:rsidRPr="00FB04BE">
              <w:rPr>
                <w:b/>
              </w:rPr>
              <w:t>Introduktion</w:t>
            </w:r>
            <w:r>
              <w:rPr>
                <w:b/>
              </w:rPr>
              <w:t xml:space="preserve"> </w:t>
            </w:r>
            <w:r w:rsidRPr="00FB04BE">
              <w:rPr>
                <w:b/>
              </w:rPr>
              <w:t>– från romantik till realism</w:t>
            </w:r>
          </w:p>
          <w:p w:rsidR="00D66097" w:rsidRDefault="00D66097" w:rsidP="003653CD">
            <w:pPr>
              <w:jc w:val="both"/>
            </w:pPr>
            <w:r w:rsidRPr="00FB04BE">
              <w:rPr>
                <w:b/>
              </w:rPr>
              <w:t>Läs:</w:t>
            </w:r>
            <w:r>
              <w:t xml:space="preserve"> Relevanta avsnitt i handböckerna</w:t>
            </w:r>
          </w:p>
          <w:p w:rsidR="00D66097" w:rsidRDefault="00D66097" w:rsidP="003653CD">
            <w:pPr>
              <w:jc w:val="both"/>
              <w:rPr>
                <w:i/>
              </w:rPr>
            </w:pPr>
            <w:r>
              <w:t xml:space="preserve">Almqvist, </w:t>
            </w:r>
            <w:r w:rsidRPr="00FB04BE">
              <w:rPr>
                <w:i/>
              </w:rPr>
              <w:t>Det går an</w:t>
            </w:r>
          </w:p>
          <w:p w:rsidR="00D66097" w:rsidRPr="00660FBB" w:rsidRDefault="00D66097" w:rsidP="003653CD">
            <w:pPr>
              <w:jc w:val="both"/>
            </w:pPr>
          </w:p>
        </w:tc>
        <w:tc>
          <w:tcPr>
            <w:tcW w:w="1130" w:type="dxa"/>
          </w:tcPr>
          <w:p w:rsidR="00D66097" w:rsidRPr="006B42CB" w:rsidRDefault="006B42CB" w:rsidP="003653CD">
            <w:pPr>
              <w:jc w:val="both"/>
            </w:pPr>
            <w:r w:rsidRPr="006B42CB">
              <w:t>KY41</w:t>
            </w:r>
          </w:p>
        </w:tc>
      </w:tr>
      <w:tr w:rsidR="00D66097" w:rsidTr="003653CD">
        <w:tc>
          <w:tcPr>
            <w:tcW w:w="856" w:type="dxa"/>
          </w:tcPr>
          <w:p w:rsidR="00D66097" w:rsidRDefault="00D66097" w:rsidP="003653CD">
            <w:pPr>
              <w:jc w:val="both"/>
            </w:pPr>
            <w:r>
              <w:t>35</w:t>
            </w:r>
          </w:p>
        </w:tc>
        <w:tc>
          <w:tcPr>
            <w:tcW w:w="986" w:type="dxa"/>
          </w:tcPr>
          <w:p w:rsidR="00D66097" w:rsidRDefault="00D66097" w:rsidP="003653CD">
            <w:pPr>
              <w:jc w:val="both"/>
            </w:pPr>
            <w:r>
              <w:t>28/8</w:t>
            </w:r>
          </w:p>
        </w:tc>
        <w:tc>
          <w:tcPr>
            <w:tcW w:w="834" w:type="dxa"/>
          </w:tcPr>
          <w:p w:rsidR="00D66097" w:rsidRDefault="0074142A" w:rsidP="003653CD">
            <w:pPr>
              <w:jc w:val="both"/>
            </w:pPr>
            <w:r>
              <w:t>13-15</w:t>
            </w:r>
          </w:p>
        </w:tc>
        <w:tc>
          <w:tcPr>
            <w:tcW w:w="5261" w:type="dxa"/>
          </w:tcPr>
          <w:p w:rsidR="00D66097" w:rsidRPr="00C91395" w:rsidRDefault="00D66097" w:rsidP="003653CD">
            <w:pPr>
              <w:jc w:val="both"/>
              <w:rPr>
                <w:b/>
              </w:rPr>
            </w:pPr>
            <w:r w:rsidRPr="00C91395">
              <w:rPr>
                <w:b/>
              </w:rPr>
              <w:t>Från romantik till realism</w:t>
            </w:r>
          </w:p>
          <w:p w:rsidR="00D66097" w:rsidRDefault="00D66097" w:rsidP="003653CD">
            <w:pPr>
              <w:jc w:val="both"/>
            </w:pPr>
            <w:r w:rsidRPr="00C91395">
              <w:rPr>
                <w:b/>
              </w:rPr>
              <w:t>Läs:</w:t>
            </w:r>
            <w:r>
              <w:t xml:space="preserve"> Relevanta avsnitt i handböckerna</w:t>
            </w:r>
          </w:p>
          <w:p w:rsidR="00D66097" w:rsidRDefault="00D66097" w:rsidP="003653CD">
            <w:pPr>
              <w:jc w:val="both"/>
            </w:pPr>
            <w:proofErr w:type="spellStart"/>
            <w:r>
              <w:t>Dostojevkij</w:t>
            </w:r>
            <w:proofErr w:type="spellEnd"/>
            <w:r>
              <w:t xml:space="preserve">, </w:t>
            </w:r>
            <w:r w:rsidRPr="00C91395">
              <w:rPr>
                <w:i/>
              </w:rPr>
              <w:t>Anteckningar från källarhålet</w:t>
            </w:r>
            <w:r>
              <w:t xml:space="preserve"> </w:t>
            </w:r>
          </w:p>
          <w:p w:rsidR="00D66097" w:rsidRPr="00C91395" w:rsidRDefault="00D66097" w:rsidP="003653CD">
            <w:pPr>
              <w:jc w:val="both"/>
            </w:pPr>
          </w:p>
        </w:tc>
        <w:tc>
          <w:tcPr>
            <w:tcW w:w="1130" w:type="dxa"/>
          </w:tcPr>
          <w:p w:rsidR="00D66097" w:rsidRDefault="0074142A" w:rsidP="003653CD">
            <w:pPr>
              <w:jc w:val="both"/>
            </w:pPr>
            <w:r>
              <w:t>KY21</w:t>
            </w:r>
          </w:p>
        </w:tc>
      </w:tr>
      <w:tr w:rsidR="0074142A" w:rsidTr="003653CD">
        <w:tc>
          <w:tcPr>
            <w:tcW w:w="856" w:type="dxa"/>
          </w:tcPr>
          <w:p w:rsidR="0074142A" w:rsidRDefault="0074142A" w:rsidP="0074142A">
            <w:pPr>
              <w:jc w:val="both"/>
            </w:pPr>
          </w:p>
        </w:tc>
        <w:tc>
          <w:tcPr>
            <w:tcW w:w="986" w:type="dxa"/>
          </w:tcPr>
          <w:p w:rsidR="0074142A" w:rsidRDefault="0074142A" w:rsidP="0074142A">
            <w:pPr>
              <w:jc w:val="both"/>
            </w:pPr>
          </w:p>
        </w:tc>
        <w:tc>
          <w:tcPr>
            <w:tcW w:w="834" w:type="dxa"/>
          </w:tcPr>
          <w:p w:rsidR="0074142A" w:rsidRDefault="0074142A" w:rsidP="0074142A">
            <w:pPr>
              <w:jc w:val="both"/>
            </w:pPr>
            <w:r>
              <w:t>15-17</w:t>
            </w:r>
          </w:p>
        </w:tc>
        <w:tc>
          <w:tcPr>
            <w:tcW w:w="5261" w:type="dxa"/>
          </w:tcPr>
          <w:p w:rsidR="0074142A" w:rsidRPr="00C91395" w:rsidRDefault="0074142A" w:rsidP="0074142A">
            <w:pPr>
              <w:jc w:val="both"/>
              <w:rPr>
                <w:b/>
              </w:rPr>
            </w:pPr>
            <w:r w:rsidRPr="00C91395">
              <w:rPr>
                <w:b/>
              </w:rPr>
              <w:t>Från romantik till realism</w:t>
            </w:r>
          </w:p>
          <w:p w:rsidR="0074142A" w:rsidRDefault="0074142A" w:rsidP="0074142A">
            <w:pPr>
              <w:jc w:val="both"/>
            </w:pPr>
            <w:r w:rsidRPr="00C91395">
              <w:rPr>
                <w:b/>
              </w:rPr>
              <w:t>Läs:</w:t>
            </w:r>
            <w:r>
              <w:t xml:space="preserve"> Relevanta avsnitt i handböckerna</w:t>
            </w:r>
          </w:p>
          <w:p w:rsidR="0074142A" w:rsidRDefault="0074142A" w:rsidP="0074142A">
            <w:pPr>
              <w:jc w:val="both"/>
              <w:rPr>
                <w:i/>
              </w:rPr>
            </w:pPr>
            <w:r>
              <w:t xml:space="preserve">Brontë, </w:t>
            </w:r>
            <w:r w:rsidRPr="00FB04BE">
              <w:rPr>
                <w:i/>
              </w:rPr>
              <w:t>Jane Eyre</w:t>
            </w:r>
          </w:p>
          <w:p w:rsidR="0074142A" w:rsidRPr="00F65712" w:rsidRDefault="0074142A" w:rsidP="0074142A">
            <w:pPr>
              <w:jc w:val="both"/>
              <w:rPr>
                <w:i/>
              </w:rPr>
            </w:pPr>
          </w:p>
        </w:tc>
        <w:tc>
          <w:tcPr>
            <w:tcW w:w="1130" w:type="dxa"/>
          </w:tcPr>
          <w:p w:rsidR="0074142A" w:rsidRDefault="0074142A" w:rsidP="0074142A">
            <w:pPr>
              <w:jc w:val="both"/>
            </w:pPr>
            <w:r>
              <w:t>KY21</w:t>
            </w:r>
          </w:p>
        </w:tc>
      </w:tr>
      <w:tr w:rsidR="0074142A" w:rsidTr="003653CD">
        <w:tc>
          <w:tcPr>
            <w:tcW w:w="856" w:type="dxa"/>
          </w:tcPr>
          <w:p w:rsidR="0074142A" w:rsidRDefault="0074142A" w:rsidP="0074142A">
            <w:pPr>
              <w:jc w:val="both"/>
            </w:pPr>
            <w:r>
              <w:t>36</w:t>
            </w:r>
          </w:p>
        </w:tc>
        <w:tc>
          <w:tcPr>
            <w:tcW w:w="986" w:type="dxa"/>
          </w:tcPr>
          <w:p w:rsidR="0074142A" w:rsidRDefault="0074142A" w:rsidP="0074142A">
            <w:pPr>
              <w:jc w:val="both"/>
            </w:pPr>
            <w:r>
              <w:t>4/9</w:t>
            </w:r>
          </w:p>
        </w:tc>
        <w:tc>
          <w:tcPr>
            <w:tcW w:w="834" w:type="dxa"/>
          </w:tcPr>
          <w:p w:rsidR="0074142A" w:rsidRDefault="0074142A" w:rsidP="0074142A">
            <w:pPr>
              <w:jc w:val="both"/>
            </w:pPr>
            <w:r>
              <w:t>10-12</w:t>
            </w:r>
          </w:p>
        </w:tc>
        <w:tc>
          <w:tcPr>
            <w:tcW w:w="5261" w:type="dxa"/>
          </w:tcPr>
          <w:p w:rsidR="0074142A" w:rsidRDefault="0074142A" w:rsidP="0074142A">
            <w:pPr>
              <w:jc w:val="both"/>
              <w:rPr>
                <w:b/>
              </w:rPr>
            </w:pPr>
            <w:r w:rsidRPr="00C91395">
              <w:rPr>
                <w:b/>
              </w:rPr>
              <w:t>Realism och naturalism</w:t>
            </w:r>
          </w:p>
          <w:p w:rsidR="0074142A" w:rsidRDefault="0074142A" w:rsidP="0074142A">
            <w:pPr>
              <w:jc w:val="both"/>
            </w:pPr>
            <w:r w:rsidRPr="00C91395">
              <w:rPr>
                <w:b/>
              </w:rPr>
              <w:t>Läs:</w:t>
            </w:r>
            <w:r>
              <w:t xml:space="preserve"> Relevanta avsnitt i handböckerna</w:t>
            </w:r>
          </w:p>
          <w:p w:rsidR="0074142A" w:rsidRDefault="0074142A" w:rsidP="0074142A">
            <w:pPr>
              <w:jc w:val="both"/>
            </w:pPr>
            <w:r>
              <w:t>Maupassant, ”Fettpärlan”</w:t>
            </w:r>
          </w:p>
          <w:p w:rsidR="0074142A" w:rsidRDefault="0074142A" w:rsidP="0074142A">
            <w:pPr>
              <w:jc w:val="both"/>
              <w:rPr>
                <w:i/>
              </w:rPr>
            </w:pPr>
            <w:r>
              <w:t xml:space="preserve">Zola, utdrag ur </w:t>
            </w:r>
            <w:r w:rsidRPr="00C91395">
              <w:rPr>
                <w:i/>
              </w:rPr>
              <w:t>Den experimentella romanen</w:t>
            </w:r>
          </w:p>
          <w:p w:rsidR="0074142A" w:rsidRPr="00F65712" w:rsidRDefault="0074142A" w:rsidP="0074142A">
            <w:pPr>
              <w:jc w:val="both"/>
              <w:rPr>
                <w:i/>
              </w:rPr>
            </w:pPr>
          </w:p>
        </w:tc>
        <w:tc>
          <w:tcPr>
            <w:tcW w:w="1130" w:type="dxa"/>
          </w:tcPr>
          <w:p w:rsidR="0074142A" w:rsidRDefault="0074142A" w:rsidP="0074142A">
            <w:pPr>
              <w:jc w:val="both"/>
            </w:pPr>
            <w:r>
              <w:t>KY41</w:t>
            </w:r>
          </w:p>
        </w:tc>
      </w:tr>
      <w:tr w:rsidR="0074142A" w:rsidTr="003653CD">
        <w:tc>
          <w:tcPr>
            <w:tcW w:w="856" w:type="dxa"/>
          </w:tcPr>
          <w:p w:rsidR="0074142A" w:rsidRDefault="0074142A" w:rsidP="0074142A">
            <w:pPr>
              <w:jc w:val="both"/>
            </w:pPr>
          </w:p>
        </w:tc>
        <w:tc>
          <w:tcPr>
            <w:tcW w:w="986" w:type="dxa"/>
          </w:tcPr>
          <w:p w:rsidR="0074142A" w:rsidRDefault="0074142A" w:rsidP="0074142A">
            <w:pPr>
              <w:jc w:val="both"/>
            </w:pPr>
          </w:p>
        </w:tc>
        <w:tc>
          <w:tcPr>
            <w:tcW w:w="834" w:type="dxa"/>
          </w:tcPr>
          <w:p w:rsidR="0074142A" w:rsidRDefault="0074142A" w:rsidP="0074142A">
            <w:pPr>
              <w:jc w:val="both"/>
            </w:pPr>
            <w:r>
              <w:t>13-15</w:t>
            </w:r>
          </w:p>
        </w:tc>
        <w:tc>
          <w:tcPr>
            <w:tcW w:w="5261" w:type="dxa"/>
          </w:tcPr>
          <w:p w:rsidR="0074142A" w:rsidRPr="00A1422A" w:rsidRDefault="0074142A" w:rsidP="0074142A">
            <w:pPr>
              <w:jc w:val="both"/>
              <w:rPr>
                <w:b/>
              </w:rPr>
            </w:pPr>
            <w:r w:rsidRPr="00A1422A">
              <w:rPr>
                <w:b/>
              </w:rPr>
              <w:t>Gruppseminarium, grupp 1</w:t>
            </w:r>
          </w:p>
          <w:p w:rsidR="0074142A" w:rsidRDefault="0074142A" w:rsidP="0074142A">
            <w:pPr>
              <w:jc w:val="both"/>
            </w:pPr>
            <w:r>
              <w:t>Almqvist, Dostojevskij, Brontë, Maupassant</w:t>
            </w:r>
          </w:p>
        </w:tc>
        <w:tc>
          <w:tcPr>
            <w:tcW w:w="1130" w:type="dxa"/>
          </w:tcPr>
          <w:p w:rsidR="0074142A" w:rsidRDefault="0074142A" w:rsidP="0074142A">
            <w:pPr>
              <w:jc w:val="both"/>
            </w:pPr>
            <w:r>
              <w:t>KG41</w:t>
            </w:r>
          </w:p>
        </w:tc>
      </w:tr>
      <w:tr w:rsidR="0074142A" w:rsidTr="003653CD">
        <w:tc>
          <w:tcPr>
            <w:tcW w:w="856" w:type="dxa"/>
          </w:tcPr>
          <w:p w:rsidR="0074142A" w:rsidRDefault="0074142A" w:rsidP="0074142A">
            <w:pPr>
              <w:jc w:val="both"/>
            </w:pPr>
          </w:p>
        </w:tc>
        <w:tc>
          <w:tcPr>
            <w:tcW w:w="986" w:type="dxa"/>
          </w:tcPr>
          <w:p w:rsidR="0074142A" w:rsidRDefault="0074142A" w:rsidP="0074142A">
            <w:pPr>
              <w:jc w:val="both"/>
            </w:pPr>
          </w:p>
        </w:tc>
        <w:tc>
          <w:tcPr>
            <w:tcW w:w="834" w:type="dxa"/>
          </w:tcPr>
          <w:p w:rsidR="0074142A" w:rsidRDefault="0074142A" w:rsidP="0074142A">
            <w:pPr>
              <w:jc w:val="both"/>
            </w:pPr>
            <w:r>
              <w:t>15-17</w:t>
            </w:r>
          </w:p>
        </w:tc>
        <w:tc>
          <w:tcPr>
            <w:tcW w:w="5261" w:type="dxa"/>
          </w:tcPr>
          <w:p w:rsidR="0074142A" w:rsidRPr="00A1422A" w:rsidRDefault="0074142A" w:rsidP="0074142A">
            <w:pPr>
              <w:jc w:val="both"/>
              <w:rPr>
                <w:b/>
              </w:rPr>
            </w:pPr>
            <w:r w:rsidRPr="00A1422A">
              <w:rPr>
                <w:b/>
              </w:rPr>
              <w:t>Gruppseminarium, grupp 2</w:t>
            </w:r>
          </w:p>
          <w:p w:rsidR="0074142A" w:rsidRPr="00A1422A" w:rsidRDefault="0074142A" w:rsidP="0074142A">
            <w:pPr>
              <w:jc w:val="both"/>
              <w:rPr>
                <w:b/>
              </w:rPr>
            </w:pPr>
            <w:r>
              <w:t>Almqvist, Dostojevskij, Brontë, Maupassant</w:t>
            </w:r>
          </w:p>
        </w:tc>
        <w:tc>
          <w:tcPr>
            <w:tcW w:w="1130" w:type="dxa"/>
          </w:tcPr>
          <w:p w:rsidR="0074142A" w:rsidRDefault="0074142A" w:rsidP="0074142A">
            <w:pPr>
              <w:jc w:val="both"/>
            </w:pPr>
            <w:r>
              <w:t>KG41</w:t>
            </w:r>
          </w:p>
        </w:tc>
      </w:tr>
      <w:tr w:rsidR="0074142A" w:rsidTr="003653CD">
        <w:tc>
          <w:tcPr>
            <w:tcW w:w="856" w:type="dxa"/>
          </w:tcPr>
          <w:p w:rsidR="0074142A" w:rsidRDefault="0074142A" w:rsidP="0074142A">
            <w:pPr>
              <w:jc w:val="both"/>
            </w:pPr>
            <w:r>
              <w:t>37</w:t>
            </w:r>
          </w:p>
        </w:tc>
        <w:tc>
          <w:tcPr>
            <w:tcW w:w="986" w:type="dxa"/>
          </w:tcPr>
          <w:p w:rsidR="0074142A" w:rsidRDefault="0074142A" w:rsidP="0074142A">
            <w:pPr>
              <w:jc w:val="both"/>
            </w:pPr>
            <w:r>
              <w:t>11/9</w:t>
            </w:r>
          </w:p>
        </w:tc>
        <w:tc>
          <w:tcPr>
            <w:tcW w:w="834" w:type="dxa"/>
          </w:tcPr>
          <w:p w:rsidR="0074142A" w:rsidRDefault="0074142A" w:rsidP="0074142A">
            <w:pPr>
              <w:jc w:val="both"/>
            </w:pPr>
            <w:r>
              <w:t>8-17</w:t>
            </w:r>
          </w:p>
        </w:tc>
        <w:tc>
          <w:tcPr>
            <w:tcW w:w="5261" w:type="dxa"/>
          </w:tcPr>
          <w:p w:rsidR="0074142A" w:rsidRDefault="0074142A" w:rsidP="0074142A">
            <w:pPr>
              <w:jc w:val="both"/>
            </w:pPr>
            <w:r>
              <w:t>Egen inläsning av litteratur</w:t>
            </w:r>
          </w:p>
        </w:tc>
        <w:tc>
          <w:tcPr>
            <w:tcW w:w="1130" w:type="dxa"/>
          </w:tcPr>
          <w:p w:rsidR="0074142A" w:rsidRDefault="0074142A" w:rsidP="0074142A">
            <w:pPr>
              <w:jc w:val="both"/>
            </w:pPr>
          </w:p>
        </w:tc>
      </w:tr>
      <w:tr w:rsidR="0074142A" w:rsidTr="003653CD">
        <w:tc>
          <w:tcPr>
            <w:tcW w:w="856" w:type="dxa"/>
          </w:tcPr>
          <w:p w:rsidR="0074142A" w:rsidRDefault="0074142A" w:rsidP="0074142A">
            <w:pPr>
              <w:jc w:val="both"/>
            </w:pPr>
            <w:r>
              <w:t>38</w:t>
            </w:r>
          </w:p>
        </w:tc>
        <w:tc>
          <w:tcPr>
            <w:tcW w:w="986" w:type="dxa"/>
          </w:tcPr>
          <w:p w:rsidR="0074142A" w:rsidRDefault="0074142A" w:rsidP="0074142A">
            <w:pPr>
              <w:jc w:val="both"/>
            </w:pPr>
            <w:r>
              <w:t>18/9</w:t>
            </w:r>
          </w:p>
        </w:tc>
        <w:tc>
          <w:tcPr>
            <w:tcW w:w="834" w:type="dxa"/>
          </w:tcPr>
          <w:p w:rsidR="0074142A" w:rsidRDefault="0074142A" w:rsidP="0074142A">
            <w:pPr>
              <w:jc w:val="both"/>
            </w:pPr>
            <w:r>
              <w:t>10-12</w:t>
            </w:r>
          </w:p>
        </w:tc>
        <w:tc>
          <w:tcPr>
            <w:tcW w:w="5261" w:type="dxa"/>
          </w:tcPr>
          <w:p w:rsidR="0074142A" w:rsidRPr="00C91395" w:rsidRDefault="0074142A" w:rsidP="0074142A">
            <w:pPr>
              <w:jc w:val="both"/>
              <w:rPr>
                <w:b/>
              </w:rPr>
            </w:pPr>
            <w:r w:rsidRPr="00C91395">
              <w:rPr>
                <w:b/>
              </w:rPr>
              <w:t>Det moderna genombrottet</w:t>
            </w:r>
          </w:p>
          <w:p w:rsidR="0074142A" w:rsidRDefault="0074142A" w:rsidP="0074142A">
            <w:pPr>
              <w:jc w:val="both"/>
            </w:pPr>
            <w:r w:rsidRPr="00C91395">
              <w:rPr>
                <w:b/>
              </w:rPr>
              <w:t>Läs:</w:t>
            </w:r>
            <w:r>
              <w:t xml:space="preserve"> Relevanta avsnitt i handböckerna</w:t>
            </w:r>
          </w:p>
          <w:p w:rsidR="0074142A" w:rsidRDefault="0074142A" w:rsidP="0074142A">
            <w:pPr>
              <w:jc w:val="both"/>
            </w:pPr>
            <w:r>
              <w:t xml:space="preserve">Benedictsson, </w:t>
            </w:r>
            <w:r w:rsidRPr="00C91395">
              <w:rPr>
                <w:i/>
              </w:rPr>
              <w:t>Pengar</w:t>
            </w:r>
          </w:p>
          <w:p w:rsidR="0074142A" w:rsidRDefault="0074142A" w:rsidP="0074142A">
            <w:pPr>
              <w:jc w:val="both"/>
            </w:pPr>
            <w:r>
              <w:t xml:space="preserve">Ibsen, </w:t>
            </w:r>
            <w:r w:rsidRPr="00C91395">
              <w:rPr>
                <w:i/>
              </w:rPr>
              <w:t>Ett dockhem</w:t>
            </w:r>
            <w:r>
              <w:t xml:space="preserve"> </w:t>
            </w:r>
          </w:p>
          <w:p w:rsidR="0074142A" w:rsidRDefault="0074142A" w:rsidP="0074142A">
            <w:pPr>
              <w:jc w:val="both"/>
            </w:pPr>
            <w:r>
              <w:t xml:space="preserve">Strindberg, Förord ur </w:t>
            </w:r>
            <w:r w:rsidRPr="00C91395">
              <w:rPr>
                <w:i/>
              </w:rPr>
              <w:t>Giftas I</w:t>
            </w:r>
            <w:r>
              <w:t>, ”Otur” och ”Reformförsök”</w:t>
            </w:r>
          </w:p>
          <w:p w:rsidR="0074142A" w:rsidRDefault="0074142A" w:rsidP="0074142A">
            <w:pPr>
              <w:jc w:val="both"/>
            </w:pPr>
          </w:p>
        </w:tc>
        <w:tc>
          <w:tcPr>
            <w:tcW w:w="1130" w:type="dxa"/>
          </w:tcPr>
          <w:p w:rsidR="0074142A" w:rsidRDefault="0074142A" w:rsidP="0074142A">
            <w:pPr>
              <w:jc w:val="both"/>
            </w:pPr>
            <w:r>
              <w:t>KY41</w:t>
            </w:r>
          </w:p>
        </w:tc>
      </w:tr>
      <w:tr w:rsidR="0074142A" w:rsidTr="003653CD">
        <w:tc>
          <w:tcPr>
            <w:tcW w:w="856" w:type="dxa"/>
          </w:tcPr>
          <w:p w:rsidR="0074142A" w:rsidRDefault="0074142A" w:rsidP="0074142A">
            <w:pPr>
              <w:jc w:val="both"/>
            </w:pPr>
          </w:p>
        </w:tc>
        <w:tc>
          <w:tcPr>
            <w:tcW w:w="986" w:type="dxa"/>
          </w:tcPr>
          <w:p w:rsidR="0074142A" w:rsidRDefault="0074142A" w:rsidP="0074142A">
            <w:pPr>
              <w:jc w:val="both"/>
            </w:pPr>
          </w:p>
        </w:tc>
        <w:tc>
          <w:tcPr>
            <w:tcW w:w="834" w:type="dxa"/>
          </w:tcPr>
          <w:p w:rsidR="0074142A" w:rsidRDefault="0074142A" w:rsidP="0074142A">
            <w:pPr>
              <w:jc w:val="both"/>
            </w:pPr>
            <w:r>
              <w:t>13-15</w:t>
            </w:r>
          </w:p>
        </w:tc>
        <w:tc>
          <w:tcPr>
            <w:tcW w:w="5261" w:type="dxa"/>
          </w:tcPr>
          <w:p w:rsidR="0074142A" w:rsidRDefault="0074142A" w:rsidP="0074142A">
            <w:pPr>
              <w:jc w:val="both"/>
              <w:rPr>
                <w:b/>
              </w:rPr>
            </w:pPr>
            <w:r>
              <w:rPr>
                <w:b/>
              </w:rPr>
              <w:t>Symbolism</w:t>
            </w:r>
          </w:p>
          <w:p w:rsidR="0074142A" w:rsidRDefault="0074142A" w:rsidP="0074142A">
            <w:pPr>
              <w:jc w:val="both"/>
            </w:pPr>
            <w:r w:rsidRPr="00C91395">
              <w:rPr>
                <w:b/>
              </w:rPr>
              <w:t>Läs:</w:t>
            </w:r>
            <w:r>
              <w:t xml:space="preserve"> Relevanta avsnitt i handböckerna</w:t>
            </w:r>
          </w:p>
          <w:p w:rsidR="0074142A" w:rsidRDefault="0074142A" w:rsidP="0074142A">
            <w:pPr>
              <w:jc w:val="both"/>
            </w:pPr>
            <w:r>
              <w:t xml:space="preserve">Conrad, </w:t>
            </w:r>
            <w:r w:rsidRPr="001B27A4">
              <w:rPr>
                <w:i/>
              </w:rPr>
              <w:t>Mörkrets hjärta</w:t>
            </w:r>
          </w:p>
          <w:p w:rsidR="0074142A" w:rsidRDefault="0074142A" w:rsidP="0074142A">
            <w:pPr>
              <w:jc w:val="both"/>
            </w:pPr>
            <w:proofErr w:type="spellStart"/>
            <w:r>
              <w:t>Strinberg</w:t>
            </w:r>
            <w:proofErr w:type="spellEnd"/>
            <w:r>
              <w:t xml:space="preserve">, </w:t>
            </w:r>
            <w:r w:rsidRPr="001B27A4">
              <w:rPr>
                <w:i/>
              </w:rPr>
              <w:t>Ett drömspel</w:t>
            </w:r>
          </w:p>
          <w:p w:rsidR="0074142A" w:rsidRDefault="0074142A" w:rsidP="0074142A">
            <w:pPr>
              <w:jc w:val="both"/>
            </w:pPr>
            <w:r>
              <w:t>Lagerlöf, ”Bortbytingen”</w:t>
            </w:r>
          </w:p>
          <w:p w:rsidR="0074142A" w:rsidRDefault="0074142A" w:rsidP="0074142A">
            <w:pPr>
              <w:jc w:val="both"/>
            </w:pPr>
            <w:r>
              <w:t xml:space="preserve">Baudelaire, utdrag ur </w:t>
            </w:r>
            <w:r w:rsidRPr="00197AD4">
              <w:rPr>
                <w:i/>
              </w:rPr>
              <w:t>Det ondas blommor</w:t>
            </w:r>
          </w:p>
          <w:p w:rsidR="0074142A" w:rsidRDefault="0074142A" w:rsidP="0074142A">
            <w:pPr>
              <w:jc w:val="both"/>
            </w:pPr>
          </w:p>
        </w:tc>
        <w:tc>
          <w:tcPr>
            <w:tcW w:w="1130" w:type="dxa"/>
          </w:tcPr>
          <w:p w:rsidR="0074142A" w:rsidRDefault="0074142A" w:rsidP="0074142A">
            <w:pPr>
              <w:jc w:val="both"/>
            </w:pPr>
            <w:r>
              <w:t>KY41</w:t>
            </w:r>
          </w:p>
        </w:tc>
      </w:tr>
    </w:tbl>
    <w:p w:rsidR="00D66097" w:rsidRDefault="00D66097" w:rsidP="00D66097">
      <w:pPr>
        <w:jc w:val="both"/>
      </w:pPr>
      <w:r>
        <w:br w:type="page"/>
      </w:r>
    </w:p>
    <w:tbl>
      <w:tblPr>
        <w:tblStyle w:val="Tabellrutnt"/>
        <w:tblW w:w="9067" w:type="dxa"/>
        <w:tblLook w:val="04A0" w:firstRow="1" w:lastRow="0" w:firstColumn="1" w:lastColumn="0" w:noHBand="0" w:noVBand="1"/>
      </w:tblPr>
      <w:tblGrid>
        <w:gridCol w:w="856"/>
        <w:gridCol w:w="986"/>
        <w:gridCol w:w="834"/>
        <w:gridCol w:w="5261"/>
        <w:gridCol w:w="1130"/>
      </w:tblGrid>
      <w:tr w:rsidR="00D66097" w:rsidTr="003653CD">
        <w:tc>
          <w:tcPr>
            <w:tcW w:w="856" w:type="dxa"/>
          </w:tcPr>
          <w:p w:rsidR="00D66097" w:rsidRDefault="00D66097" w:rsidP="003653CD">
            <w:pPr>
              <w:jc w:val="both"/>
            </w:pPr>
            <w:r>
              <w:lastRenderedPageBreak/>
              <w:t>39</w:t>
            </w:r>
          </w:p>
        </w:tc>
        <w:tc>
          <w:tcPr>
            <w:tcW w:w="986" w:type="dxa"/>
          </w:tcPr>
          <w:p w:rsidR="00D66097" w:rsidRDefault="00D66097" w:rsidP="003653CD">
            <w:pPr>
              <w:jc w:val="both"/>
            </w:pPr>
            <w:r>
              <w:t>25/9</w:t>
            </w:r>
          </w:p>
        </w:tc>
        <w:tc>
          <w:tcPr>
            <w:tcW w:w="834" w:type="dxa"/>
          </w:tcPr>
          <w:p w:rsidR="00D66097" w:rsidRDefault="00D66097" w:rsidP="003653CD">
            <w:pPr>
              <w:jc w:val="both"/>
            </w:pPr>
            <w:r>
              <w:t>10-12</w:t>
            </w:r>
          </w:p>
        </w:tc>
        <w:tc>
          <w:tcPr>
            <w:tcW w:w="5261" w:type="dxa"/>
          </w:tcPr>
          <w:p w:rsidR="00D66097" w:rsidRPr="00F65712" w:rsidRDefault="00EF3212" w:rsidP="003653CD">
            <w:pPr>
              <w:jc w:val="both"/>
              <w:rPr>
                <w:b/>
              </w:rPr>
            </w:pPr>
            <w:r>
              <w:rPr>
                <w:b/>
              </w:rPr>
              <w:t>Gruppseminarium, grupp 2</w:t>
            </w:r>
          </w:p>
          <w:p w:rsidR="00D66097" w:rsidRDefault="00D66097" w:rsidP="003653CD">
            <w:pPr>
              <w:jc w:val="both"/>
            </w:pPr>
            <w:r>
              <w:t>Benedictsson, Ibsen, Strindberg, Lagerlöf, Conrad, Baudelaire</w:t>
            </w:r>
          </w:p>
          <w:p w:rsidR="00D66097" w:rsidRDefault="00D66097" w:rsidP="003653CD">
            <w:pPr>
              <w:jc w:val="both"/>
            </w:pPr>
          </w:p>
        </w:tc>
        <w:tc>
          <w:tcPr>
            <w:tcW w:w="1130" w:type="dxa"/>
          </w:tcPr>
          <w:p w:rsidR="00D66097" w:rsidRDefault="00835BA9" w:rsidP="003653CD">
            <w:pPr>
              <w:jc w:val="both"/>
            </w:pPr>
            <w:r>
              <w:t>KG21</w:t>
            </w:r>
          </w:p>
        </w:tc>
      </w:tr>
      <w:tr w:rsidR="00D66097" w:rsidTr="003653CD">
        <w:tc>
          <w:tcPr>
            <w:tcW w:w="856" w:type="dxa"/>
          </w:tcPr>
          <w:p w:rsidR="00D66097" w:rsidRDefault="00D66097" w:rsidP="003653CD">
            <w:pPr>
              <w:jc w:val="both"/>
            </w:pPr>
          </w:p>
        </w:tc>
        <w:tc>
          <w:tcPr>
            <w:tcW w:w="986" w:type="dxa"/>
          </w:tcPr>
          <w:p w:rsidR="00D66097" w:rsidRDefault="00D66097" w:rsidP="003653CD">
            <w:pPr>
              <w:jc w:val="both"/>
            </w:pPr>
          </w:p>
        </w:tc>
        <w:tc>
          <w:tcPr>
            <w:tcW w:w="834" w:type="dxa"/>
          </w:tcPr>
          <w:p w:rsidR="00D66097" w:rsidRDefault="00D66097" w:rsidP="003653CD">
            <w:pPr>
              <w:jc w:val="both"/>
            </w:pPr>
            <w:r>
              <w:t>13-15</w:t>
            </w:r>
          </w:p>
        </w:tc>
        <w:tc>
          <w:tcPr>
            <w:tcW w:w="5261" w:type="dxa"/>
          </w:tcPr>
          <w:p w:rsidR="00D66097" w:rsidRPr="00F65712" w:rsidRDefault="00EF3212" w:rsidP="003653CD">
            <w:pPr>
              <w:jc w:val="both"/>
              <w:rPr>
                <w:b/>
              </w:rPr>
            </w:pPr>
            <w:r>
              <w:rPr>
                <w:b/>
              </w:rPr>
              <w:t>Gruppseminarium, grupp 1</w:t>
            </w:r>
          </w:p>
          <w:p w:rsidR="00D66097" w:rsidRDefault="00D66097" w:rsidP="003653CD">
            <w:pPr>
              <w:jc w:val="both"/>
            </w:pPr>
            <w:r>
              <w:t>Benedictsson, Ibsen, Strindberg, Lagerlöf, Conrad, Baudelaire</w:t>
            </w:r>
          </w:p>
          <w:p w:rsidR="00D66097" w:rsidRDefault="00D66097" w:rsidP="003653CD">
            <w:pPr>
              <w:jc w:val="both"/>
            </w:pPr>
          </w:p>
        </w:tc>
        <w:tc>
          <w:tcPr>
            <w:tcW w:w="1130" w:type="dxa"/>
          </w:tcPr>
          <w:p w:rsidR="00D66097" w:rsidRDefault="00835BA9" w:rsidP="003653CD">
            <w:pPr>
              <w:jc w:val="both"/>
            </w:pPr>
            <w:r>
              <w:t>KG21</w:t>
            </w:r>
          </w:p>
        </w:tc>
      </w:tr>
      <w:tr w:rsidR="00D66097" w:rsidTr="003653CD">
        <w:tc>
          <w:tcPr>
            <w:tcW w:w="856" w:type="dxa"/>
          </w:tcPr>
          <w:p w:rsidR="00D66097" w:rsidRDefault="00D66097" w:rsidP="003653CD">
            <w:pPr>
              <w:jc w:val="both"/>
            </w:pPr>
            <w:r>
              <w:t>40</w:t>
            </w:r>
          </w:p>
        </w:tc>
        <w:tc>
          <w:tcPr>
            <w:tcW w:w="986" w:type="dxa"/>
          </w:tcPr>
          <w:p w:rsidR="00D66097" w:rsidRDefault="00D66097" w:rsidP="003653CD">
            <w:pPr>
              <w:jc w:val="both"/>
            </w:pPr>
            <w:r>
              <w:t>2/10</w:t>
            </w:r>
          </w:p>
        </w:tc>
        <w:tc>
          <w:tcPr>
            <w:tcW w:w="834" w:type="dxa"/>
          </w:tcPr>
          <w:p w:rsidR="00D66097" w:rsidRDefault="00D66097" w:rsidP="003653CD">
            <w:pPr>
              <w:jc w:val="both"/>
            </w:pPr>
            <w:r>
              <w:t>10-12</w:t>
            </w:r>
          </w:p>
        </w:tc>
        <w:tc>
          <w:tcPr>
            <w:tcW w:w="5261" w:type="dxa"/>
          </w:tcPr>
          <w:p w:rsidR="00D66097" w:rsidRPr="00C91395" w:rsidRDefault="00D66097" w:rsidP="003653CD">
            <w:pPr>
              <w:jc w:val="both"/>
              <w:rPr>
                <w:b/>
              </w:rPr>
            </w:pPr>
            <w:r w:rsidRPr="00C91395">
              <w:rPr>
                <w:b/>
              </w:rPr>
              <w:t xml:space="preserve">Symbolism och avslutning </w:t>
            </w:r>
          </w:p>
          <w:p w:rsidR="00D66097" w:rsidRDefault="00D66097" w:rsidP="003653CD">
            <w:pPr>
              <w:jc w:val="both"/>
            </w:pPr>
            <w:r w:rsidRPr="00C91395">
              <w:rPr>
                <w:b/>
              </w:rPr>
              <w:t>Läs:</w:t>
            </w:r>
            <w:r>
              <w:t xml:space="preserve"> Relevanta avsnitt i handböckerna</w:t>
            </w:r>
          </w:p>
          <w:p w:rsidR="00D66097" w:rsidRDefault="00D66097" w:rsidP="003653CD">
            <w:pPr>
              <w:jc w:val="both"/>
            </w:pPr>
            <w:r>
              <w:t xml:space="preserve">Conrad, </w:t>
            </w:r>
            <w:r w:rsidRPr="001B27A4">
              <w:rPr>
                <w:i/>
              </w:rPr>
              <w:t>Mörkrets hjärta</w:t>
            </w:r>
          </w:p>
          <w:p w:rsidR="00D66097" w:rsidRDefault="00D66097" w:rsidP="003653CD">
            <w:pPr>
              <w:jc w:val="both"/>
            </w:pPr>
            <w:proofErr w:type="spellStart"/>
            <w:r>
              <w:t>Strinberg</w:t>
            </w:r>
            <w:proofErr w:type="spellEnd"/>
            <w:r>
              <w:t xml:space="preserve">, </w:t>
            </w:r>
            <w:r w:rsidRPr="001B27A4">
              <w:rPr>
                <w:i/>
              </w:rPr>
              <w:t>Ett drömspel</w:t>
            </w:r>
          </w:p>
          <w:p w:rsidR="00D66097" w:rsidRDefault="00D66097" w:rsidP="003653CD">
            <w:pPr>
              <w:jc w:val="both"/>
            </w:pPr>
            <w:r>
              <w:t>Lagerlöf, ”Bortbytingen”</w:t>
            </w:r>
          </w:p>
          <w:p w:rsidR="00D66097" w:rsidRDefault="00D66097" w:rsidP="003653CD">
            <w:pPr>
              <w:jc w:val="both"/>
            </w:pPr>
            <w:r>
              <w:t xml:space="preserve">Baudelaire, utdrag ur </w:t>
            </w:r>
            <w:r w:rsidRPr="00197AD4">
              <w:rPr>
                <w:i/>
              </w:rPr>
              <w:t>Det ondas blommor</w:t>
            </w:r>
          </w:p>
          <w:p w:rsidR="00D66097" w:rsidRPr="00F65712" w:rsidRDefault="00D66097" w:rsidP="003653CD">
            <w:pPr>
              <w:jc w:val="both"/>
              <w:rPr>
                <w:b/>
              </w:rPr>
            </w:pPr>
            <w:r w:rsidRPr="00F65712">
              <w:rPr>
                <w:b/>
              </w:rPr>
              <w:t>Hemtentan ut!</w:t>
            </w:r>
          </w:p>
        </w:tc>
        <w:tc>
          <w:tcPr>
            <w:tcW w:w="1130" w:type="dxa"/>
          </w:tcPr>
          <w:p w:rsidR="00D66097" w:rsidRDefault="00835BA9" w:rsidP="003653CD">
            <w:pPr>
              <w:jc w:val="both"/>
            </w:pPr>
            <w:r>
              <w:t>KY41</w:t>
            </w:r>
          </w:p>
        </w:tc>
      </w:tr>
      <w:tr w:rsidR="00D66097" w:rsidTr="003653CD">
        <w:tc>
          <w:tcPr>
            <w:tcW w:w="856" w:type="dxa"/>
          </w:tcPr>
          <w:p w:rsidR="00D66097" w:rsidRDefault="00D66097" w:rsidP="003653CD">
            <w:pPr>
              <w:jc w:val="both"/>
            </w:pPr>
            <w:r>
              <w:t>41</w:t>
            </w:r>
          </w:p>
        </w:tc>
        <w:tc>
          <w:tcPr>
            <w:tcW w:w="986" w:type="dxa"/>
          </w:tcPr>
          <w:p w:rsidR="00D66097" w:rsidRDefault="00D66097" w:rsidP="003653CD">
            <w:pPr>
              <w:jc w:val="both"/>
            </w:pPr>
            <w:r>
              <w:t>8/10</w:t>
            </w:r>
          </w:p>
        </w:tc>
        <w:tc>
          <w:tcPr>
            <w:tcW w:w="834" w:type="dxa"/>
          </w:tcPr>
          <w:p w:rsidR="00D66097" w:rsidRDefault="00D66097" w:rsidP="003653CD">
            <w:pPr>
              <w:jc w:val="both"/>
            </w:pPr>
            <w:r>
              <w:t>8.00</w:t>
            </w:r>
          </w:p>
        </w:tc>
        <w:tc>
          <w:tcPr>
            <w:tcW w:w="5261" w:type="dxa"/>
          </w:tcPr>
          <w:p w:rsidR="00D66097" w:rsidRPr="00F65712" w:rsidRDefault="00D66097" w:rsidP="003653CD">
            <w:pPr>
              <w:jc w:val="both"/>
              <w:rPr>
                <w:b/>
              </w:rPr>
            </w:pPr>
            <w:r w:rsidRPr="00F65712">
              <w:rPr>
                <w:b/>
              </w:rPr>
              <w:t>Hemtentan in!</w:t>
            </w:r>
          </w:p>
        </w:tc>
        <w:tc>
          <w:tcPr>
            <w:tcW w:w="1130" w:type="dxa"/>
          </w:tcPr>
          <w:p w:rsidR="00D66097" w:rsidRDefault="00D66097" w:rsidP="003653CD">
            <w:pPr>
              <w:jc w:val="both"/>
            </w:pPr>
          </w:p>
        </w:tc>
      </w:tr>
    </w:tbl>
    <w:p w:rsidR="00D66097" w:rsidRDefault="00D66097" w:rsidP="00D66097">
      <w:pPr>
        <w:jc w:val="both"/>
      </w:pPr>
    </w:p>
    <w:p w:rsidR="00D66097" w:rsidRDefault="00D66097" w:rsidP="00D66097">
      <w:pPr>
        <w:jc w:val="both"/>
        <w:rPr>
          <w:b/>
        </w:rPr>
      </w:pPr>
      <w:r w:rsidRPr="00FB04BE">
        <w:rPr>
          <w:b/>
        </w:rPr>
        <w:t>Handböcker och lit</w:t>
      </w:r>
      <w:r>
        <w:rPr>
          <w:b/>
        </w:rPr>
        <w:t>teratur som används genomgående</w:t>
      </w:r>
    </w:p>
    <w:p w:rsidR="00D66097" w:rsidRDefault="00D66097" w:rsidP="00D66097">
      <w:pPr>
        <w:jc w:val="both"/>
      </w:pPr>
      <w:r w:rsidRPr="000C3C57">
        <w:t xml:space="preserve">Olsson, Bernt &amp; Ingemar </w:t>
      </w:r>
      <w:proofErr w:type="spellStart"/>
      <w:r w:rsidRPr="000C3C57">
        <w:t>Algulin</w:t>
      </w:r>
      <w:proofErr w:type="spellEnd"/>
      <w:r w:rsidRPr="000C3C57">
        <w:t xml:space="preserve">, </w:t>
      </w:r>
      <w:r w:rsidRPr="000C3C57">
        <w:rPr>
          <w:i/>
        </w:rPr>
        <w:t>Litteraturens historia i världen</w:t>
      </w:r>
      <w:r w:rsidRPr="000C3C57">
        <w:t xml:space="preserve"> (4:e uppl., Stockholm1995 och senare)</w:t>
      </w:r>
    </w:p>
    <w:p w:rsidR="00D66097" w:rsidRPr="00F65712" w:rsidRDefault="00D66097" w:rsidP="00D66097">
      <w:pPr>
        <w:jc w:val="both"/>
      </w:pPr>
      <w:r w:rsidRPr="000C3C57">
        <w:t xml:space="preserve">Olsson, Bernt &amp; Ingemar </w:t>
      </w:r>
      <w:proofErr w:type="spellStart"/>
      <w:r w:rsidRPr="000C3C57">
        <w:t>Algulin</w:t>
      </w:r>
      <w:proofErr w:type="spellEnd"/>
      <w:r w:rsidRPr="000C3C57">
        <w:t xml:space="preserve">, </w:t>
      </w:r>
      <w:r w:rsidRPr="000C3C57">
        <w:rPr>
          <w:i/>
        </w:rPr>
        <w:t>Litteraturens historia i Sverige</w:t>
      </w:r>
      <w:r w:rsidRPr="000C3C57">
        <w:t xml:space="preserve"> (5:e uppl., Stockholm2009 och senare)</w:t>
      </w:r>
    </w:p>
    <w:p w:rsidR="00D66097" w:rsidRPr="000C3C57" w:rsidRDefault="00D66097" w:rsidP="00D66097">
      <w:pPr>
        <w:pStyle w:val="Ingetavstnd"/>
        <w:jc w:val="both"/>
      </w:pPr>
      <w:r w:rsidRPr="000C3C57">
        <w:rPr>
          <w:i/>
        </w:rPr>
        <w:t>Texter från Sapfo till Strindberg</w:t>
      </w:r>
      <w:r w:rsidRPr="000C3C57">
        <w:t xml:space="preserve">, red. Dick </w:t>
      </w:r>
      <w:proofErr w:type="spellStart"/>
      <w:r w:rsidRPr="000C3C57">
        <w:t>Claésson</w:t>
      </w:r>
      <w:proofErr w:type="spellEnd"/>
      <w:r w:rsidRPr="000C3C57">
        <w:t>, Lars Fyhr &amp; Gunnar D Hansson</w:t>
      </w:r>
    </w:p>
    <w:p w:rsidR="00D66097" w:rsidRDefault="00D66097" w:rsidP="00D66097">
      <w:pPr>
        <w:pStyle w:val="Ingetavstnd"/>
        <w:jc w:val="both"/>
      </w:pPr>
      <w:r w:rsidRPr="000C3C57">
        <w:t>(Lund 2006) = T</w:t>
      </w:r>
    </w:p>
    <w:p w:rsidR="00D66097" w:rsidRDefault="00D66097" w:rsidP="00D66097">
      <w:pPr>
        <w:pStyle w:val="Ingetavstnd"/>
        <w:jc w:val="both"/>
      </w:pPr>
    </w:p>
    <w:p w:rsidR="00D66097" w:rsidRPr="00025178" w:rsidRDefault="00D66097" w:rsidP="00D66097">
      <w:pPr>
        <w:jc w:val="both"/>
        <w:rPr>
          <w:b/>
        </w:rPr>
      </w:pPr>
      <w:r w:rsidRPr="00025178">
        <w:rPr>
          <w:b/>
        </w:rPr>
        <w:t>Skönlitteratur</w:t>
      </w:r>
    </w:p>
    <w:p w:rsidR="00D66097" w:rsidRDefault="00D66097" w:rsidP="00D66097">
      <w:pPr>
        <w:jc w:val="both"/>
      </w:pPr>
      <w:r>
        <w:t xml:space="preserve">Carl Jonas Love Almqvist, </w:t>
      </w:r>
      <w:r w:rsidRPr="00FB04BE">
        <w:rPr>
          <w:i/>
        </w:rPr>
        <w:t>Det går an</w:t>
      </w:r>
    </w:p>
    <w:p w:rsidR="00D66097" w:rsidRDefault="00D66097" w:rsidP="00D66097">
      <w:pPr>
        <w:jc w:val="both"/>
      </w:pPr>
      <w:r>
        <w:t xml:space="preserve">Charles Baudelaire, utdrag ur </w:t>
      </w:r>
      <w:r w:rsidRPr="00E50AC8">
        <w:rPr>
          <w:i/>
        </w:rPr>
        <w:t>Ondskans blommor</w:t>
      </w:r>
      <w:r>
        <w:t xml:space="preserve"> (T)</w:t>
      </w:r>
    </w:p>
    <w:p w:rsidR="00D66097" w:rsidRDefault="00D66097" w:rsidP="00D66097">
      <w:pPr>
        <w:jc w:val="both"/>
      </w:pPr>
      <w:r>
        <w:t xml:space="preserve">Joseph Conrad, </w:t>
      </w:r>
      <w:proofErr w:type="spellStart"/>
      <w:r w:rsidRPr="001B27A4">
        <w:rPr>
          <w:i/>
        </w:rPr>
        <w:t>Heart</w:t>
      </w:r>
      <w:proofErr w:type="spellEnd"/>
      <w:r w:rsidRPr="001B27A4">
        <w:rPr>
          <w:i/>
        </w:rPr>
        <w:t xml:space="preserve"> </w:t>
      </w:r>
      <w:proofErr w:type="spellStart"/>
      <w:r w:rsidRPr="001B27A4">
        <w:rPr>
          <w:i/>
        </w:rPr>
        <w:t>of</w:t>
      </w:r>
      <w:proofErr w:type="spellEnd"/>
      <w:r w:rsidRPr="001B27A4">
        <w:rPr>
          <w:i/>
        </w:rPr>
        <w:t xml:space="preserve"> </w:t>
      </w:r>
      <w:proofErr w:type="spellStart"/>
      <w:r w:rsidRPr="001B27A4">
        <w:rPr>
          <w:i/>
        </w:rPr>
        <w:t>Darkness</w:t>
      </w:r>
      <w:proofErr w:type="spellEnd"/>
      <w:r>
        <w:t>/</w:t>
      </w:r>
      <w:r w:rsidRPr="00025178">
        <w:rPr>
          <w:i/>
        </w:rPr>
        <w:t>Mörkrets hjärta</w:t>
      </w:r>
    </w:p>
    <w:p w:rsidR="00D66097" w:rsidRDefault="00D66097" w:rsidP="00D66097">
      <w:pPr>
        <w:jc w:val="both"/>
      </w:pPr>
      <w:r>
        <w:t xml:space="preserve">Viktoria Benedictsson/Ernst Ahlgren, </w:t>
      </w:r>
      <w:r w:rsidRPr="00025178">
        <w:rPr>
          <w:i/>
        </w:rPr>
        <w:t>Pengar</w:t>
      </w:r>
    </w:p>
    <w:p w:rsidR="00D66097" w:rsidRDefault="00D66097" w:rsidP="00D66097">
      <w:pPr>
        <w:jc w:val="both"/>
      </w:pPr>
      <w:r>
        <w:t xml:space="preserve">Charlotte Brontë, </w:t>
      </w:r>
      <w:r w:rsidRPr="00025178">
        <w:rPr>
          <w:i/>
        </w:rPr>
        <w:t>Jane Eyre</w:t>
      </w:r>
    </w:p>
    <w:p w:rsidR="00D66097" w:rsidRDefault="00D66097" w:rsidP="00D66097">
      <w:pPr>
        <w:jc w:val="both"/>
      </w:pPr>
      <w:r>
        <w:t xml:space="preserve">Fjodor Dostojevskij, </w:t>
      </w:r>
      <w:r w:rsidRPr="005F7779">
        <w:rPr>
          <w:i/>
        </w:rPr>
        <w:t>Anteckningar från källarhålet</w:t>
      </w:r>
      <w:r>
        <w:rPr>
          <w:i/>
        </w:rPr>
        <w:t>/En underjordisk dagbok</w:t>
      </w:r>
    </w:p>
    <w:p w:rsidR="00D66097" w:rsidRDefault="00D66097" w:rsidP="00D66097">
      <w:pPr>
        <w:jc w:val="both"/>
      </w:pPr>
      <w:r>
        <w:t xml:space="preserve">Henrik Ibsen, </w:t>
      </w:r>
      <w:r w:rsidRPr="00025178">
        <w:rPr>
          <w:i/>
        </w:rPr>
        <w:t>Ett dockhem</w:t>
      </w:r>
    </w:p>
    <w:p w:rsidR="00D66097" w:rsidRDefault="00D66097" w:rsidP="00D66097">
      <w:pPr>
        <w:jc w:val="both"/>
      </w:pPr>
      <w:r>
        <w:t xml:space="preserve">Selma Lagerlöf, ”Bortbytingen” </w:t>
      </w:r>
    </w:p>
    <w:p w:rsidR="00D66097" w:rsidRDefault="00D66097" w:rsidP="00D66097">
      <w:pPr>
        <w:jc w:val="both"/>
      </w:pPr>
      <w:r w:rsidRPr="00F65712">
        <w:t xml:space="preserve">Guy de Maupassant, ”Fettpärlan” (OBS! </w:t>
      </w:r>
      <w:r>
        <w:t>Inte lättläst, bearb. av Jonsson och Alexandersson)</w:t>
      </w:r>
    </w:p>
    <w:p w:rsidR="00D66097" w:rsidRDefault="00D66097" w:rsidP="00D66097">
      <w:pPr>
        <w:jc w:val="both"/>
      </w:pPr>
      <w:r>
        <w:t xml:space="preserve">August Strindberg, Förordet till </w:t>
      </w:r>
      <w:r w:rsidRPr="00D25C72">
        <w:rPr>
          <w:i/>
        </w:rPr>
        <w:t>Giftas I</w:t>
      </w:r>
      <w:r>
        <w:t>, samt novellerna ”Otur” och ”Reformförsök”</w:t>
      </w:r>
    </w:p>
    <w:p w:rsidR="00D66097" w:rsidRDefault="00D66097" w:rsidP="00D66097">
      <w:pPr>
        <w:jc w:val="both"/>
      </w:pPr>
      <w:r>
        <w:t xml:space="preserve">August Strindberg, </w:t>
      </w:r>
      <w:r w:rsidRPr="00D25C72">
        <w:rPr>
          <w:i/>
        </w:rPr>
        <w:t>Ett drömspel</w:t>
      </w:r>
      <w:r>
        <w:t xml:space="preserve"> </w:t>
      </w:r>
    </w:p>
    <w:p w:rsidR="00D66097" w:rsidRDefault="00D66097" w:rsidP="00D66097">
      <w:pPr>
        <w:jc w:val="both"/>
      </w:pPr>
      <w:r>
        <w:t xml:space="preserve">Émile Zola, utdrag ur </w:t>
      </w:r>
      <w:r w:rsidRPr="005F7779">
        <w:rPr>
          <w:i/>
        </w:rPr>
        <w:t>Den experimentella romanen</w:t>
      </w:r>
      <w:r>
        <w:t xml:space="preserve"> (T)</w:t>
      </w:r>
    </w:p>
    <w:p w:rsidR="00D66097" w:rsidRDefault="00D66097" w:rsidP="00D66097">
      <w:pPr>
        <w:jc w:val="both"/>
        <w:rPr>
          <w:b/>
        </w:rPr>
      </w:pPr>
      <w:r>
        <w:rPr>
          <w:b/>
        </w:rPr>
        <w:br w:type="page"/>
      </w:r>
    </w:p>
    <w:p w:rsidR="00D66097" w:rsidRDefault="00D66097" w:rsidP="00D66097">
      <w:pPr>
        <w:jc w:val="both"/>
        <w:rPr>
          <w:b/>
        </w:rPr>
      </w:pPr>
    </w:p>
    <w:p w:rsidR="00D66097" w:rsidRDefault="00D66097" w:rsidP="00D66097">
      <w:pPr>
        <w:jc w:val="both"/>
        <w:rPr>
          <w:b/>
        </w:rPr>
      </w:pPr>
      <w:r>
        <w:rPr>
          <w:b/>
        </w:rPr>
        <w:t>Rekommenderad referenslitteratur</w:t>
      </w:r>
    </w:p>
    <w:p w:rsidR="00D66097" w:rsidRDefault="00D66097" w:rsidP="00D66097">
      <w:pPr>
        <w:jc w:val="both"/>
      </w:pPr>
      <w:r>
        <w:t xml:space="preserve">Claes-Göran Holmberg &amp; Anders Ohlsson, </w:t>
      </w:r>
      <w:r w:rsidRPr="006D4538">
        <w:rPr>
          <w:i/>
        </w:rPr>
        <w:t>Epikanalys: en introduktion</w:t>
      </w:r>
    </w:p>
    <w:p w:rsidR="00D66097" w:rsidRDefault="00D66097" w:rsidP="00D66097">
      <w:pPr>
        <w:jc w:val="both"/>
      </w:pPr>
      <w:r>
        <w:t xml:space="preserve">Lars Elleström, </w:t>
      </w:r>
      <w:r w:rsidRPr="006D4538">
        <w:rPr>
          <w:i/>
        </w:rPr>
        <w:t>Lyrikanalys: en introduktion</w:t>
      </w:r>
    </w:p>
    <w:p w:rsidR="00D66097" w:rsidRDefault="00D66097" w:rsidP="00D66097">
      <w:pPr>
        <w:jc w:val="both"/>
        <w:rPr>
          <w:i/>
        </w:rPr>
      </w:pPr>
      <w:r>
        <w:t xml:space="preserve">Birthe Sjöberg: </w:t>
      </w:r>
      <w:r w:rsidRPr="006D4538">
        <w:rPr>
          <w:i/>
        </w:rPr>
        <w:t>Dramatikanalys : en introduktion</w:t>
      </w:r>
    </w:p>
    <w:p w:rsidR="00D66097" w:rsidRDefault="00D66097" w:rsidP="00D66097">
      <w:pPr>
        <w:jc w:val="both"/>
      </w:pPr>
      <w:r>
        <w:t>Elisabeth M</w:t>
      </w:r>
      <w:r>
        <w:rPr>
          <w:rFonts w:cs="Times New Roman"/>
        </w:rPr>
        <w:t>ø</w:t>
      </w:r>
      <w:r>
        <w:t xml:space="preserve">ller Jensen m.fl. (red.), </w:t>
      </w:r>
      <w:r w:rsidRPr="006D4538">
        <w:rPr>
          <w:i/>
        </w:rPr>
        <w:t>Nordisk kvinnolitteraturhistoria</w:t>
      </w:r>
      <w:r>
        <w:t xml:space="preserve"> </w:t>
      </w:r>
    </w:p>
    <w:p w:rsidR="00D66097" w:rsidRDefault="00D66097" w:rsidP="00D66097">
      <w:pPr>
        <w:jc w:val="both"/>
      </w:pPr>
      <w:r>
        <w:t xml:space="preserve">Carin Franzén (red.), </w:t>
      </w:r>
      <w:r w:rsidRPr="002C575A">
        <w:rPr>
          <w:i/>
        </w:rPr>
        <w:t>Grundbok i litteraturvetenskap</w:t>
      </w:r>
    </w:p>
    <w:p w:rsidR="00D66097" w:rsidRDefault="00D66097" w:rsidP="00D66097">
      <w:pPr>
        <w:jc w:val="both"/>
      </w:pPr>
    </w:p>
    <w:p w:rsidR="00D66097" w:rsidRPr="00D234E8" w:rsidRDefault="00D66097" w:rsidP="00D66097">
      <w:pPr>
        <w:jc w:val="both"/>
        <w:rPr>
          <w:b/>
        </w:rPr>
      </w:pPr>
      <w:r w:rsidRPr="00D234E8">
        <w:rPr>
          <w:b/>
        </w:rPr>
        <w:t>Elektroniska länkar</w:t>
      </w:r>
    </w:p>
    <w:p w:rsidR="00D66097" w:rsidRDefault="00D66097" w:rsidP="00D66097">
      <w:pPr>
        <w:jc w:val="both"/>
      </w:pPr>
      <w:r>
        <w:t xml:space="preserve">Mycket av den svenska litteraturen finns tillgänglig digitalt i Litteraturbanken: </w:t>
      </w:r>
      <w:hyperlink r:id="rId7" w:history="1">
        <w:r w:rsidRPr="0074504E">
          <w:rPr>
            <w:rStyle w:val="Hyperlnk"/>
          </w:rPr>
          <w:t>http://litteraturbanken.se/</w:t>
        </w:r>
      </w:hyperlink>
      <w:r>
        <w:t xml:space="preserve"> </w:t>
      </w:r>
    </w:p>
    <w:p w:rsidR="00D66097" w:rsidRPr="00D234E8" w:rsidRDefault="00D66097" w:rsidP="00D66097">
      <w:pPr>
        <w:jc w:val="both"/>
        <w:rPr>
          <w:b/>
        </w:rPr>
      </w:pPr>
      <w:r w:rsidRPr="00D234E8">
        <w:rPr>
          <w:b/>
        </w:rPr>
        <w:t>Läsanvisningar och instruktioner</w:t>
      </w:r>
    </w:p>
    <w:p w:rsidR="00D66097" w:rsidRDefault="00D66097" w:rsidP="00D66097">
      <w:pPr>
        <w:jc w:val="both"/>
      </w:pPr>
      <w:r>
        <w:t xml:space="preserve">Till varje kurstillfälle läses relevanta avsnitt ur de litteraturhistoriska handböckerna samt den skönlitteratur som anges. </w:t>
      </w:r>
      <w:r w:rsidR="004A45ED">
        <w:rPr>
          <w:b/>
        </w:rPr>
        <w:t>Tisdagen i vecka 37</w:t>
      </w:r>
      <w:r w:rsidRPr="00675318">
        <w:rPr>
          <w:b/>
        </w:rPr>
        <w:t xml:space="preserve"> viks helt åt egen läsning.</w:t>
      </w:r>
      <w:r>
        <w:t xml:space="preserve"> Då vi genomgående kommer att arbeta med textanalys är det av största vikt att fysiska exemplar av de skönlitterära texterna tas med vid samtliga undervisningstillfällen, samt att ni förbereder er genom att hitta exempel (notera sidnummer!) som belyser kopplingen mellan verket i fråga och dess epok och litterära strömning, genom att reflektera över hur olika litteraturvetenskapliga perspektiv (genus, klass, mångfald) kan anläggas på verket, och hur det kan analyseras och tolkas utifrån generella modeller för textanalys (med fokus på berättarteknik, tema, stil osv.).</w:t>
      </w:r>
    </w:p>
    <w:p w:rsidR="00D66097" w:rsidRDefault="00D66097" w:rsidP="00D66097">
      <w:pPr>
        <w:jc w:val="both"/>
      </w:pPr>
    </w:p>
    <w:p w:rsidR="00D66097" w:rsidRPr="00F65712" w:rsidRDefault="00D66097" w:rsidP="00D66097">
      <w:pPr>
        <w:jc w:val="both"/>
        <w:rPr>
          <w:b/>
        </w:rPr>
      </w:pPr>
      <w:r w:rsidRPr="00F65712">
        <w:rPr>
          <w:b/>
        </w:rPr>
        <w:t>Examination</w:t>
      </w:r>
    </w:p>
    <w:p w:rsidR="00D66097" w:rsidRDefault="00D66097" w:rsidP="00D66097">
      <w:pPr>
        <w:jc w:val="both"/>
      </w:pPr>
      <w:r>
        <w:t>Kursen examineras genom muntliga redovisningar s</w:t>
      </w:r>
      <w:r w:rsidR="004A45ED">
        <w:t>amt hemtentamen (inlämning den 8</w:t>
      </w:r>
      <w:r>
        <w:t>/10). Alla kurstillfällen är obligatoriska. Kontakta därför kursansvarig lärare för kompletteringsuppgift om du uteblir från mer än ett kurstillfälle.</w:t>
      </w:r>
    </w:p>
    <w:p w:rsidR="00D66097" w:rsidRDefault="00D66097" w:rsidP="00D66097">
      <w:pPr>
        <w:jc w:val="both"/>
      </w:pPr>
    </w:p>
    <w:p w:rsidR="00D66097" w:rsidRDefault="00D66097" w:rsidP="00D66097"/>
    <w:p w:rsidR="00EA55A1" w:rsidRDefault="00EA55A1"/>
    <w:sectPr w:rsidR="00EA55A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40D" w:rsidRDefault="0043140D" w:rsidP="00D66097">
      <w:pPr>
        <w:spacing w:after="0" w:line="240" w:lineRule="auto"/>
      </w:pPr>
      <w:r>
        <w:separator/>
      </w:r>
    </w:p>
  </w:endnote>
  <w:endnote w:type="continuationSeparator" w:id="0">
    <w:p w:rsidR="0043140D" w:rsidRDefault="0043140D" w:rsidP="00D66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40D" w:rsidRDefault="0043140D" w:rsidP="00D66097">
      <w:pPr>
        <w:spacing w:after="0" w:line="240" w:lineRule="auto"/>
      </w:pPr>
      <w:r>
        <w:separator/>
      </w:r>
    </w:p>
  </w:footnote>
  <w:footnote w:type="continuationSeparator" w:id="0">
    <w:p w:rsidR="0043140D" w:rsidRDefault="0043140D" w:rsidP="00D66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3CD" w:rsidRPr="00B51FF1" w:rsidRDefault="00005A8F">
    <w:pPr>
      <w:pStyle w:val="Sidhuvud"/>
      <w:rPr>
        <w:sz w:val="20"/>
        <w:szCs w:val="20"/>
      </w:rPr>
    </w:pPr>
    <w:r>
      <w:rPr>
        <w:sz w:val="20"/>
        <w:szCs w:val="20"/>
      </w:rPr>
      <w:t>Kulturvetarprogrammet</w:t>
    </w:r>
    <w:r>
      <w:rPr>
        <w:sz w:val="20"/>
        <w:szCs w:val="20"/>
      </w:rPr>
      <w:tab/>
    </w:r>
    <w:r>
      <w:rPr>
        <w:sz w:val="20"/>
        <w:szCs w:val="20"/>
      </w:rPr>
      <w:tab/>
      <w:t>Ht 2018</w:t>
    </w:r>
  </w:p>
  <w:p w:rsidR="003653CD" w:rsidRPr="00B51FF1" w:rsidRDefault="00005A8F">
    <w:pPr>
      <w:pStyle w:val="Sidhuvud"/>
      <w:rPr>
        <w:sz w:val="20"/>
        <w:szCs w:val="20"/>
      </w:rPr>
    </w:pPr>
    <w:r w:rsidRPr="00B51FF1">
      <w:rPr>
        <w:sz w:val="20"/>
        <w:szCs w:val="20"/>
      </w:rPr>
      <w:t>758G55</w:t>
    </w:r>
    <w:r>
      <w:rPr>
        <w:sz w:val="20"/>
        <w:szCs w:val="20"/>
      </w:rPr>
      <w:tab/>
      <w:t xml:space="preserve">                                                                                                                               </w:t>
    </w:r>
    <w:r w:rsidR="00D66097">
      <w:rPr>
        <w:sz w:val="20"/>
        <w:szCs w:val="20"/>
      </w:rPr>
      <w:t xml:space="preserve">                            180813</w:t>
    </w:r>
  </w:p>
  <w:p w:rsidR="003653CD" w:rsidRPr="00B51FF1" w:rsidRDefault="00005A8F">
    <w:pPr>
      <w:pStyle w:val="Sidhuvud"/>
      <w:rPr>
        <w:sz w:val="20"/>
        <w:szCs w:val="20"/>
      </w:rPr>
    </w:pPr>
    <w:r w:rsidRPr="00B51FF1">
      <w:rPr>
        <w:sz w:val="20"/>
        <w:szCs w:val="20"/>
      </w:rPr>
      <w:t xml:space="preserve">Litteraturvetenskap (4,5 </w:t>
    </w:r>
    <w:proofErr w:type="spellStart"/>
    <w:r w:rsidRPr="00B51FF1">
      <w:rPr>
        <w:sz w:val="20"/>
        <w:szCs w:val="20"/>
      </w:rPr>
      <w:t>hp</w:t>
    </w:r>
    <w:proofErr w:type="spellEnd"/>
    <w:r w:rsidRPr="00B51FF1">
      <w:rPr>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097"/>
    <w:rsid w:val="00005A8F"/>
    <w:rsid w:val="00323B7C"/>
    <w:rsid w:val="003653CD"/>
    <w:rsid w:val="0043140D"/>
    <w:rsid w:val="00431B25"/>
    <w:rsid w:val="004A45ED"/>
    <w:rsid w:val="004A5BF5"/>
    <w:rsid w:val="006B42CB"/>
    <w:rsid w:val="0074142A"/>
    <w:rsid w:val="00835BA9"/>
    <w:rsid w:val="0086305B"/>
    <w:rsid w:val="00D66097"/>
    <w:rsid w:val="00EA55A1"/>
    <w:rsid w:val="00EF32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87F0D-63C0-4E5F-82AE-37D45321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6097"/>
    <w:rPr>
      <w:rFonts w:ascii="Times New Roman" w:hAnsi="Times New Roman"/>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609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66097"/>
    <w:rPr>
      <w:rFonts w:ascii="Times New Roman" w:hAnsi="Times New Roman"/>
      <w:sz w:val="24"/>
    </w:rPr>
  </w:style>
  <w:style w:type="character" w:styleId="Hyperlnk">
    <w:name w:val="Hyperlink"/>
    <w:basedOn w:val="Standardstycketeckensnitt"/>
    <w:uiPriority w:val="99"/>
    <w:unhideWhenUsed/>
    <w:rsid w:val="00D66097"/>
    <w:rPr>
      <w:color w:val="0563C1" w:themeColor="hyperlink"/>
      <w:u w:val="single"/>
    </w:rPr>
  </w:style>
  <w:style w:type="table" w:styleId="Tabellrutnt">
    <w:name w:val="Table Grid"/>
    <w:basedOn w:val="Normaltabell"/>
    <w:uiPriority w:val="39"/>
    <w:rsid w:val="00D6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D66097"/>
    <w:pPr>
      <w:spacing w:after="0" w:line="240" w:lineRule="auto"/>
    </w:pPr>
    <w:rPr>
      <w:rFonts w:ascii="Times New Roman" w:hAnsi="Times New Roman"/>
      <w:sz w:val="24"/>
    </w:rPr>
  </w:style>
  <w:style w:type="paragraph" w:styleId="Sidfot">
    <w:name w:val="footer"/>
    <w:basedOn w:val="Normal"/>
    <w:link w:val="SidfotChar"/>
    <w:uiPriority w:val="99"/>
    <w:unhideWhenUsed/>
    <w:rsid w:val="00D6609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6609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litteraturbanken.se/"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sofie.persson@liu.se"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2F7C62DB9DA340B1FE178836EBABE6" ma:contentTypeVersion="4" ma:contentTypeDescription="Skapa ett nytt dokument." ma:contentTypeScope="" ma:versionID="e071c744d8be3ea57c472a4b6936fdf9">
  <xsd:schema xmlns:xsd="http://www.w3.org/2001/XMLSchema" xmlns:xs="http://www.w3.org/2001/XMLSchema" xmlns:p="http://schemas.microsoft.com/office/2006/metadata/properties" xmlns:ns2="db4c97ef-8455-4c10-8f32-a29d644eb5aa" xmlns:ns3="d102fa8d-2b79-4f58-bca5-22f6bd304d96" targetNamespace="http://schemas.microsoft.com/office/2006/metadata/properties" ma:root="true" ma:fieldsID="2082061aed1793ea4744cd6a7a85e188" ns2:_="" ns3:_="">
    <xsd:import namespace="db4c97ef-8455-4c10-8f32-a29d644eb5aa"/>
    <xsd:import namespace="d102fa8d-2b79-4f58-bca5-22f6bd304d96"/>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c97ef-8455-4c10-8f32-a29d644eb5aa"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02fa8d-2b79-4f58-bca5-22f6bd304d96"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PublishedVersion xmlns="d102fa8d-2b79-4f58-bca5-22f6bd304d96">1.0</_lisam_PublishedVersion>
    <_lisam_Description xmlns="db4c97ef-8455-4c10-8f32-a29d644eb5aa" xsi:nil="true"/>
  </documentManagement>
</p:properties>
</file>

<file path=customXml/itemProps1.xml><?xml version="1.0" encoding="utf-8"?>
<ds:datastoreItem xmlns:ds="http://schemas.openxmlformats.org/officeDocument/2006/customXml" ds:itemID="{32E8F654-9488-4F2B-ACC8-4FC518DCD677}"/>
</file>

<file path=customXml/itemProps2.xml><?xml version="1.0" encoding="utf-8"?>
<ds:datastoreItem xmlns:ds="http://schemas.openxmlformats.org/officeDocument/2006/customXml" ds:itemID="{9AFF81CC-18D3-475C-8192-ECFC8BA09EBD}"/>
</file>

<file path=customXml/itemProps3.xml><?xml version="1.0" encoding="utf-8"?>
<ds:datastoreItem xmlns:ds="http://schemas.openxmlformats.org/officeDocument/2006/customXml" ds:itemID="{E769C164-5311-46AF-AF95-DD16E443443D}"/>
</file>

<file path=docProps/app.xml><?xml version="1.0" encoding="utf-8"?>
<Properties xmlns="http://schemas.openxmlformats.org/officeDocument/2006/extended-properties" xmlns:vt="http://schemas.openxmlformats.org/officeDocument/2006/docPropsVTypes">
  <Template>Normal</Template>
  <TotalTime>47</TotalTime>
  <Pages>3</Pages>
  <Words>678</Words>
  <Characters>3594</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Linköpings universitet</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Ann-Sofie Persson</dc:creator>
  <cp:keywords/>
  <dc:description/>
  <cp:lastModifiedBy>Ann-Sofie Persson</cp:lastModifiedBy>
  <cp:revision>1</cp:revision>
  <dcterms:created xsi:type="dcterms:W3CDTF">2018-08-13T09:23:00Z</dcterms:created>
  <dcterms:modified xsi:type="dcterms:W3CDTF">2018-08-16T09:41:00Z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0x010100252F7C62DB9DA340B1FE178836EBABE6</vt:lpwstr>
  </property>
</Properties>
</file>